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639C" w14:textId="77777777" w:rsidR="00535949" w:rsidRPr="00535949" w:rsidRDefault="00535949" w:rsidP="00535949">
      <w:pPr>
        <w:shd w:val="clear" w:color="auto" w:fill="FFFFFF"/>
        <w:bidi/>
        <w:spacing w:before="225" w:after="225" w:line="289" w:lineRule="atLeast"/>
        <w:ind w:left="225" w:right="225"/>
        <w:jc w:val="center"/>
        <w:rPr>
          <w:rFonts w:ascii="Helvetica" w:eastAsia="Times New Roman" w:hAnsi="Helvetica" w:cs="Helvetica"/>
          <w:color w:val="192D34"/>
        </w:rPr>
      </w:pPr>
      <w:r w:rsidRPr="00535949">
        <w:rPr>
          <w:rFonts w:ascii="Sakkal Majalla" w:eastAsia="Times New Roman" w:hAnsi="Sakkal Majalla" w:cs="Sakkal Majalla"/>
          <w:color w:val="192D34"/>
          <w:sz w:val="28"/>
          <w:szCs w:val="28"/>
          <w:rtl/>
          <w:lang w:bidi="ar-JO"/>
        </w:rPr>
        <w:t>ارتفعت صافي أرباح مجموعة كابيتال بنك من الاعمال الاعتيادية مع نهاية الربع الأول من العام الجاري 2023 بنسبة </w:t>
      </w:r>
      <w:r w:rsidRPr="00535949">
        <w:rPr>
          <w:rFonts w:ascii="Sakkal Majalla" w:eastAsia="Times New Roman" w:hAnsi="Sakkal Majalla" w:cs="Sakkal Majalla"/>
          <w:color w:val="192D34"/>
          <w:sz w:val="28"/>
          <w:szCs w:val="28"/>
        </w:rPr>
        <w:t>34</w:t>
      </w:r>
      <w:r w:rsidRPr="00535949">
        <w:rPr>
          <w:rFonts w:ascii="Sakkal Majalla" w:eastAsia="Times New Roman" w:hAnsi="Sakkal Majalla" w:cs="Sakkal Majalla"/>
          <w:color w:val="192D34"/>
          <w:sz w:val="28"/>
          <w:szCs w:val="28"/>
          <w:rtl/>
          <w:lang w:bidi="ar-JO"/>
        </w:rPr>
        <w:t>%  لتصل إلى </w:t>
      </w:r>
      <w:r w:rsidRPr="00535949">
        <w:rPr>
          <w:rFonts w:ascii="Sakkal Majalla" w:eastAsia="Times New Roman" w:hAnsi="Sakkal Majalla" w:cs="Sakkal Majalla"/>
          <w:color w:val="192D34"/>
          <w:sz w:val="28"/>
          <w:szCs w:val="28"/>
        </w:rPr>
        <w:t>26.1</w:t>
      </w:r>
      <w:r w:rsidRPr="00535949">
        <w:rPr>
          <w:rFonts w:ascii="Sakkal Majalla" w:eastAsia="Times New Roman" w:hAnsi="Sakkal Majalla" w:cs="Sakkal Majalla"/>
          <w:color w:val="192D34"/>
          <w:sz w:val="28"/>
          <w:szCs w:val="28"/>
          <w:rtl/>
          <w:lang w:bidi="ar-JO"/>
        </w:rPr>
        <w:t> مليون دينار، مقابل 19.5 مليون دينار لذات الفترة من العام الماضي</w:t>
      </w:r>
      <w:r w:rsidRPr="00535949">
        <w:rPr>
          <w:rFonts w:ascii="Sakkal Majalla" w:eastAsia="Times New Roman" w:hAnsi="Sakkal Majalla" w:cs="Sakkal Majalla"/>
          <w:b/>
          <w:bCs/>
          <w:color w:val="192D34"/>
          <w:sz w:val="28"/>
          <w:szCs w:val="28"/>
          <w:rtl/>
          <w:lang w:bidi="ar-JO"/>
        </w:rPr>
        <w:t>، </w:t>
      </w:r>
      <w:r w:rsidRPr="00535949">
        <w:rPr>
          <w:rFonts w:ascii="Sakkal Majalla" w:eastAsia="Times New Roman" w:hAnsi="Sakkal Majalla" w:cs="Sakkal Majalla"/>
          <w:color w:val="192D34"/>
          <w:sz w:val="28"/>
          <w:szCs w:val="28"/>
          <w:rtl/>
          <w:lang w:bidi="ar-JO"/>
        </w:rPr>
        <w:t>وذلك بعد استبعاد البنود غير المتكررة.</w:t>
      </w:r>
      <w:r w:rsidRPr="00535949">
        <w:rPr>
          <w:rFonts w:ascii="Sakkal Majalla" w:eastAsia="Times New Roman" w:hAnsi="Sakkal Majalla" w:cs="Sakkal Majalla"/>
          <w:color w:val="192D34"/>
          <w:sz w:val="28"/>
          <w:szCs w:val="28"/>
          <w:rtl/>
          <w:lang w:bidi="ar-JO"/>
        </w:rPr>
        <w:br/>
        <w:t> حافظت مجموعة كابيتال بنك على أداء مالي قوي مع نهاية</w:t>
      </w:r>
      <w:r w:rsidRPr="00535949">
        <w:rPr>
          <w:rFonts w:ascii="Sakkal Majalla" w:eastAsia="Times New Roman" w:hAnsi="Sakkal Majalla" w:cs="Sakkal Majalla"/>
          <w:color w:val="192D34"/>
          <w:sz w:val="28"/>
          <w:szCs w:val="28"/>
          <w:lang w:bidi="ar-JO"/>
        </w:rPr>
        <w:t> </w:t>
      </w:r>
      <w:r w:rsidRPr="00535949">
        <w:rPr>
          <w:rFonts w:ascii="Sakkal Majalla" w:eastAsia="Times New Roman" w:hAnsi="Sakkal Majalla" w:cs="Sakkal Majalla"/>
          <w:color w:val="192D34"/>
          <w:sz w:val="28"/>
          <w:szCs w:val="28"/>
          <w:rtl/>
          <w:lang w:bidi="ar-JO"/>
        </w:rPr>
        <w:t>الربع الأول من العام الحالي تمثل بارتفاع إجمالي موجودات المجموعة مع نهاية شهر آذار بنسبة 25%  لتصل إلى 7.5 مليار دينار، مقابل قرابة 6  مليارات دينار لذات الفترة من العام  2022.</w:t>
      </w:r>
      <w:r w:rsidRPr="00535949">
        <w:rPr>
          <w:rFonts w:ascii="Sakkal Majalla" w:eastAsia="Times New Roman" w:hAnsi="Sakkal Majalla" w:cs="Sakkal Majalla"/>
          <w:color w:val="192D34"/>
          <w:sz w:val="28"/>
          <w:szCs w:val="28"/>
          <w:rtl/>
          <w:lang w:bidi="ar-JO"/>
        </w:rPr>
        <w:br/>
        <w:t>وارتفع صافي الدخل الاجمالي للمجموعة بنسبة </w:t>
      </w:r>
      <w:r w:rsidRPr="00535949">
        <w:rPr>
          <w:rFonts w:ascii="Sakkal Majalla" w:eastAsia="Times New Roman" w:hAnsi="Sakkal Majalla" w:cs="Sakkal Majalla"/>
          <w:color w:val="192D34"/>
          <w:sz w:val="28"/>
          <w:szCs w:val="28"/>
        </w:rPr>
        <w:t>68</w:t>
      </w:r>
      <w:r w:rsidRPr="00535949">
        <w:rPr>
          <w:rFonts w:ascii="Sakkal Majalla" w:eastAsia="Times New Roman" w:hAnsi="Sakkal Majalla" w:cs="Sakkal Majalla"/>
          <w:color w:val="192D34"/>
          <w:sz w:val="28"/>
          <w:szCs w:val="28"/>
          <w:rtl/>
          <w:lang w:bidi="ar-JO"/>
        </w:rPr>
        <w:t>% ليصل إلى </w:t>
      </w:r>
      <w:r w:rsidRPr="00535949">
        <w:rPr>
          <w:rFonts w:ascii="Sakkal Majalla" w:eastAsia="Times New Roman" w:hAnsi="Sakkal Majalla" w:cs="Sakkal Majalla"/>
          <w:color w:val="192D34"/>
          <w:sz w:val="28"/>
          <w:szCs w:val="28"/>
        </w:rPr>
        <w:t>69</w:t>
      </w:r>
      <w:r w:rsidRPr="00535949">
        <w:rPr>
          <w:rFonts w:ascii="Sakkal Majalla" w:eastAsia="Times New Roman" w:hAnsi="Sakkal Majalla" w:cs="Sakkal Majalla"/>
          <w:color w:val="192D34"/>
          <w:sz w:val="28"/>
          <w:szCs w:val="28"/>
          <w:rtl/>
          <w:lang w:bidi="ar-JO"/>
        </w:rPr>
        <w:t> مليون دينار، مقابل 41 مليون دينار لنفس الفترة من العام الماضي، فيما سجلت ودائع العملاء ارتفاعاً  نسبته 10.4% لتصل إلى 5.4 مليار دينار في نهاية الربع الأول من العام الجاري، مقابل 4.9 مليار دينار في نهاية عام 2022.</w:t>
      </w:r>
      <w:r w:rsidRPr="00535949">
        <w:rPr>
          <w:rFonts w:ascii="Sakkal Majalla" w:eastAsia="Times New Roman" w:hAnsi="Sakkal Majalla" w:cs="Sakkal Majalla"/>
          <w:color w:val="192D34"/>
          <w:sz w:val="28"/>
          <w:szCs w:val="28"/>
          <w:rtl/>
          <w:lang w:bidi="ar-JO"/>
        </w:rPr>
        <w:br/>
      </w:r>
      <w:r w:rsidRPr="00535949">
        <w:rPr>
          <w:rFonts w:ascii="Sakkal Majalla" w:eastAsia="Times New Roman" w:hAnsi="Sakkal Majalla" w:cs="Sakkal Majalla"/>
          <w:color w:val="192D34"/>
          <w:sz w:val="28"/>
          <w:szCs w:val="28"/>
          <w:rtl/>
        </w:rPr>
        <w:t>وقال رئيس مجلس إدارة مجموعة كابيتال بنك، باسم خليل السالم: "واصلت مجموعة كابيتال بنك مسار نموها التصاعدي في الشهور الثلاثة الأولى من العام الجاري، حيث أظهرت المؤشرات المالية الرئيسية للمجموعة مستوى جيد من الأداء، مما يؤكد قوة ومتانة وضعها المالي، وقدرتها على تحقيق عوائد مالية طويلة الأمد تلبي تطلعات مساهميها</w:t>
      </w:r>
      <w:r w:rsidRPr="00535949">
        <w:rPr>
          <w:rFonts w:ascii="Sakkal Majalla" w:eastAsia="Times New Roman" w:hAnsi="Sakkal Majalla" w:cs="Sakkal Majalla"/>
          <w:color w:val="192D34"/>
          <w:sz w:val="28"/>
          <w:szCs w:val="28"/>
          <w:rtl/>
        </w:rPr>
        <w:br/>
      </w:r>
      <w:r w:rsidRPr="00535949">
        <w:rPr>
          <w:rFonts w:ascii="Sakkal Majalla" w:eastAsia="Times New Roman" w:hAnsi="Sakkal Majalla" w:cs="Sakkal Majalla"/>
          <w:color w:val="192D34"/>
          <w:sz w:val="28"/>
          <w:szCs w:val="28"/>
          <w:rtl/>
          <w:lang w:bidi="ar-JO"/>
        </w:rPr>
        <w:t>وفيما يتعلق بالنتائج المالية للشركات التابعة لمجموعة كابيتال بنك، فقد ارتفعت صافي أرباح المصرف الأهلي العراقي بعد الضرائب بنسبة </w:t>
      </w:r>
      <w:r w:rsidRPr="00535949">
        <w:rPr>
          <w:rFonts w:ascii="Sakkal Majalla" w:eastAsia="Times New Roman" w:hAnsi="Sakkal Majalla" w:cs="Sakkal Majalla"/>
          <w:color w:val="192D34"/>
          <w:sz w:val="28"/>
          <w:szCs w:val="28"/>
        </w:rPr>
        <w:t>151</w:t>
      </w:r>
      <w:r w:rsidRPr="00535949">
        <w:rPr>
          <w:rFonts w:ascii="Sakkal Majalla" w:eastAsia="Times New Roman" w:hAnsi="Sakkal Majalla" w:cs="Sakkal Majalla"/>
          <w:color w:val="192D34"/>
          <w:sz w:val="28"/>
          <w:szCs w:val="28"/>
          <w:rtl/>
          <w:lang w:bidi="ar-JO"/>
        </w:rPr>
        <w:t>% لتصل إلى 8.9 مليون دينار أردني في الربع الأول من العام الجاري، مقابل  3.5 مليون دينار خلال نفس الفترة من العام الماضي، فيما نمت إجمالي أصول المصرف بنسبة 42% لتصل إلى 1.7 مليار دينار مع نهاية الشهور الثلاثة الأولى من العام الجاري. وحققت شركة كابيتال للاستثمارات أيضاً ارتفاعاً في أرباحها الصافية بنسبة بلغت 10% مع نهاية الربع الأول من العام الجاري لتصل إلى 1.5 مليون دينار.</w:t>
      </w:r>
    </w:p>
    <w:p w14:paraId="6A844F8E" w14:textId="77777777" w:rsidR="00535949" w:rsidRPr="00535949" w:rsidRDefault="00535949" w:rsidP="00535949">
      <w:pPr>
        <w:shd w:val="clear" w:color="auto" w:fill="FFFFFF"/>
        <w:bidi/>
        <w:spacing w:before="225" w:after="225" w:line="289" w:lineRule="atLeast"/>
        <w:ind w:left="225" w:right="225"/>
        <w:jc w:val="center"/>
        <w:rPr>
          <w:rFonts w:ascii="Helvetica" w:eastAsia="Times New Roman" w:hAnsi="Helvetica" w:cs="Helvetica"/>
          <w:color w:val="192D34"/>
          <w:rtl/>
        </w:rPr>
      </w:pPr>
      <w:r w:rsidRPr="00535949">
        <w:rPr>
          <w:rFonts w:ascii="Sakkal Majalla" w:eastAsia="Times New Roman" w:hAnsi="Sakkal Majalla" w:cs="Sakkal Majalla"/>
          <w:color w:val="192D34"/>
          <w:sz w:val="28"/>
          <w:szCs w:val="28"/>
          <w:rtl/>
        </w:rPr>
        <w:t>أكد الرئيس التنفيذي لمجموعة كابيتال بنك داود الغول، أن المجموعة واصلت أداءها المالي المتميز خلال الربع الأول من العام الجاري، وتم ترجمته من خلال المؤشرات المالية الإيجابية والقوية سواء على صعيد الأرباح المتحققة، حيث ارتفع صافي الدخل التشغيلي للمجموعة من عملياتها الاعتيادية بنسبة 83</w:t>
      </w:r>
      <w:proofErr w:type="gramStart"/>
      <w:r w:rsidRPr="00535949">
        <w:rPr>
          <w:rFonts w:ascii="Sakkal Majalla" w:eastAsia="Times New Roman" w:hAnsi="Sakkal Majalla" w:cs="Sakkal Majalla"/>
          <w:color w:val="192D34"/>
          <w:sz w:val="28"/>
          <w:szCs w:val="28"/>
          <w:rtl/>
        </w:rPr>
        <w:t>%  أو</w:t>
      </w:r>
      <w:proofErr w:type="gramEnd"/>
      <w:r w:rsidRPr="00535949">
        <w:rPr>
          <w:rFonts w:ascii="Sakkal Majalla" w:eastAsia="Times New Roman" w:hAnsi="Sakkal Majalla" w:cs="Sakkal Majalla"/>
          <w:color w:val="192D34"/>
          <w:sz w:val="28"/>
          <w:szCs w:val="28"/>
          <w:rtl/>
        </w:rPr>
        <w:t xml:space="preserve"> على صعيد زيادة حجم الأصول، إضافة إلى نسبة كفاية رأس المال للمجموعة والتي كانت أعلى من الحد الأدنى المطلوب من البنك المركزي الأردني البالغة نسبته 14.25%.</w:t>
      </w:r>
    </w:p>
    <w:p w14:paraId="0FEDF7D3" w14:textId="77777777" w:rsidR="003E6B08" w:rsidRDefault="00535949"/>
    <w:sectPr w:rsidR="003E6B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949"/>
    <w:rsid w:val="00535949"/>
    <w:rsid w:val="006C30E2"/>
    <w:rsid w:val="00DF66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7192C"/>
  <w15:chartTrackingRefBased/>
  <w15:docId w15:val="{F204F879-7C7E-4A02-88A0-40B89840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Barham Al-mashini</dc:creator>
  <cp:keywords/>
  <dc:description/>
  <cp:lastModifiedBy>Barham Al-mashini</cp:lastModifiedBy>
  <cp:revision>1</cp:revision>
  <dcterms:created xsi:type="dcterms:W3CDTF">2023-04-19T12:43:00Z</dcterms:created>
  <dcterms:modified xsi:type="dcterms:W3CDTF">2023-04-19T12:44:00Z</dcterms:modified>
</cp:coreProperties>
</file>