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2C9ED" w14:textId="77777777" w:rsidR="00D15F52" w:rsidRPr="00D15F52" w:rsidRDefault="00D15F52" w:rsidP="00D15F52">
      <w:pPr>
        <w:jc w:val="center"/>
        <w:rPr>
          <w:b/>
          <w:bCs/>
        </w:rPr>
      </w:pPr>
    </w:p>
    <w:p w14:paraId="39A096CD" w14:textId="0BC2C472" w:rsidR="007B49A8" w:rsidRDefault="00594002" w:rsidP="00594002">
      <w:r>
        <w:t xml:space="preserve">The net profit of Capital Bank Group from ordinary activities increased by 34% by the end of the first quarter of 2023 to reach </w:t>
      </w:r>
      <w:r w:rsidR="005066F5">
        <w:t xml:space="preserve">JOD </w:t>
      </w:r>
      <w:r>
        <w:t xml:space="preserve">26.1 million, compared to </w:t>
      </w:r>
      <w:r w:rsidR="005066F5">
        <w:t xml:space="preserve">JOD </w:t>
      </w:r>
      <w:r>
        <w:t>19.5 million for the same period last year, after excluding non-recurring items.</w:t>
      </w:r>
      <w:r w:rsidR="007B49A8">
        <w:t xml:space="preserve"> </w:t>
      </w:r>
    </w:p>
    <w:p w14:paraId="2534E803" w14:textId="4E557B19" w:rsidR="00594002" w:rsidRDefault="00594002" w:rsidP="00594002">
      <w:r>
        <w:t xml:space="preserve">Capital Bank Group maintained strong financial performance by the end of the first quarter of this year, represented by a 25% increase in the total assets of the group by the end of March to reach </w:t>
      </w:r>
      <w:r w:rsidR="005066F5">
        <w:t xml:space="preserve">JOD </w:t>
      </w:r>
      <w:r>
        <w:t xml:space="preserve">7.5 billion, compared to approximately </w:t>
      </w:r>
      <w:r w:rsidR="005066F5">
        <w:t xml:space="preserve">JOD </w:t>
      </w:r>
      <w:r>
        <w:t xml:space="preserve">6 billion for the same period in 2022. </w:t>
      </w:r>
    </w:p>
    <w:p w14:paraId="63F6900D" w14:textId="72C30A46" w:rsidR="00594002" w:rsidRDefault="00594002" w:rsidP="00594002">
      <w:r>
        <w:t xml:space="preserve">The group's total income increased by 68% to reach </w:t>
      </w:r>
      <w:r w:rsidR="005066F5">
        <w:t xml:space="preserve">JOD </w:t>
      </w:r>
      <w:r>
        <w:t xml:space="preserve">69 million, compared to </w:t>
      </w:r>
      <w:r w:rsidR="005066F5">
        <w:t xml:space="preserve">JOD </w:t>
      </w:r>
      <w:r>
        <w:t xml:space="preserve">41 million for the same period last year, while customer deposits increased by 10.4% to reach </w:t>
      </w:r>
      <w:r w:rsidR="005066F5">
        <w:t xml:space="preserve">JOD </w:t>
      </w:r>
      <w:r>
        <w:t xml:space="preserve">5.4 billion at the end of the first quarter of the current year, compared to </w:t>
      </w:r>
      <w:r w:rsidR="005066F5">
        <w:t xml:space="preserve">JOD </w:t>
      </w:r>
      <w:r>
        <w:t>4.9 billion at the end of 2022.</w:t>
      </w:r>
    </w:p>
    <w:p w14:paraId="3A603D47" w14:textId="08E0BB00" w:rsidR="00D15F52" w:rsidRDefault="00D15F52" w:rsidP="004E4732">
      <w:r>
        <w:t>As for the financial results of the subsidiaries of Capital Bank Group, the net profits of the National Bank of Iraq increased by 151% after taxes to reach JOD 8.9 million in the first quarter of this year, compared to JOD 3.5 million during the same period last year. Meanwhile, the bank's total assets grew by 42% to reach JOD 1.7 billion at the end of the first three months of this year. Capital Investments Company also achieved a 10% increase in its net profits, reaching JOD 1.5 million at the end of the first quarter of this year.</w:t>
      </w:r>
    </w:p>
    <w:p w14:paraId="55C01BEB" w14:textId="18F782EB" w:rsidR="00D15F52" w:rsidRDefault="004E4732" w:rsidP="00D15F52">
      <w:r>
        <w:t>For his part</w:t>
      </w:r>
      <w:r w:rsidR="00D15F52">
        <w:t>, the CEO of Capital Bank Group, Dawod A</w:t>
      </w:r>
      <w:r>
        <w:t>l</w:t>
      </w:r>
      <w:r w:rsidR="00D15F52">
        <w:t>-Ghoul, confirmed that the group continued its excellent financial performance during the first quarter of this year, which was reflected through positive and strong financial indicators, both in terms of achieved profits, where the net operating income of the group's normal operations increased by 83%, and in terms of the increase in the size of assets, in addition to the capital adequacy ratio of the group, which was higher than the minimum required by the Central Bank of Jordan, which is 14.25%.</w:t>
      </w:r>
    </w:p>
    <w:p w14:paraId="6BDDBD64" w14:textId="77777777" w:rsidR="00D15F52" w:rsidRDefault="00D15F52" w:rsidP="00D15F52"/>
    <w:p w14:paraId="79F9DA89" w14:textId="34B78337" w:rsidR="00D15F52" w:rsidRDefault="00D15F52" w:rsidP="00D15F52">
      <w:pPr>
        <w:jc w:val="center"/>
      </w:pPr>
      <w:r>
        <w:t>-End-</w:t>
      </w:r>
    </w:p>
    <w:sectPr w:rsidR="00D15F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002"/>
    <w:rsid w:val="004E4732"/>
    <w:rsid w:val="005066F5"/>
    <w:rsid w:val="00594002"/>
    <w:rsid w:val="00654C8A"/>
    <w:rsid w:val="00670E27"/>
    <w:rsid w:val="007B49A8"/>
    <w:rsid w:val="009D1386"/>
    <w:rsid w:val="00CF3EB9"/>
    <w:rsid w:val="00D15F52"/>
    <w:rsid w:val="00DA3A82"/>
    <w:rsid w:val="00FE50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947BD"/>
  <w15:chartTrackingRefBased/>
  <w15:docId w15:val="{EA899B3D-E460-41D7-89DD-24A9CA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005794">
      <w:bodyDiv w:val="1"/>
      <w:marLeft w:val="0"/>
      <w:marRight w:val="0"/>
      <w:marTop w:val="0"/>
      <w:marBottom w:val="0"/>
      <w:divBdr>
        <w:top w:val="none" w:sz="0" w:space="0" w:color="auto"/>
        <w:left w:val="none" w:sz="0" w:space="0" w:color="auto"/>
        <w:bottom w:val="none" w:sz="0" w:space="0" w:color="auto"/>
        <w:right w:val="none" w:sz="0" w:space="0" w:color="auto"/>
      </w:divBdr>
    </w:div>
    <w:div w:id="18886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1186</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 Kayyali</dc:creator>
  <cp:keywords/>
  <dc:description/>
  <cp:lastModifiedBy>Barham Al-mashini</cp:lastModifiedBy>
  <cp:revision>6</cp:revision>
  <dcterms:created xsi:type="dcterms:W3CDTF">2023-04-19T12:30:00Z</dcterms:created>
  <dcterms:modified xsi:type="dcterms:W3CDTF">2023-04-20T11:20:00Z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d3dff485-a4d1-4df8-a7ff-93eb81d5e505</vt:lpwstr>
  </property>
</Properties>
</file>